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8A" w:rsidRPr="00E0108E" w:rsidRDefault="00EE7D8A" w:rsidP="00270E4E">
      <w:pPr>
        <w:spacing w:after="0" w:line="240" w:lineRule="auto"/>
        <w:rPr>
          <w:rFonts w:cstheme="minorHAnsi"/>
          <w:b/>
        </w:rPr>
      </w:pPr>
      <w:r w:rsidRPr="00E0108E">
        <w:rPr>
          <w:rFonts w:cstheme="minorHAnsi"/>
          <w:b/>
        </w:rPr>
        <w:t xml:space="preserve">Mammalian </w:t>
      </w:r>
      <w:r w:rsidR="009A4E97">
        <w:rPr>
          <w:rFonts w:cstheme="minorHAnsi"/>
          <w:b/>
        </w:rPr>
        <w:t xml:space="preserve">Protein </w:t>
      </w:r>
      <w:r w:rsidRPr="00E0108E">
        <w:rPr>
          <w:rFonts w:cstheme="minorHAnsi"/>
          <w:b/>
        </w:rPr>
        <w:t>Feeding Ban</w:t>
      </w:r>
    </w:p>
    <w:p w:rsidR="00E0108E" w:rsidRDefault="00270E4E" w:rsidP="00E0108E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  <w:r w:rsidRPr="00E0108E">
        <w:rPr>
          <w:rFonts w:asciiTheme="minorHAnsi" w:hAnsiTheme="minorHAnsi" w:cstheme="minorHAnsi"/>
          <w:b w:val="0"/>
          <w:sz w:val="22"/>
          <w:szCs w:val="22"/>
        </w:rPr>
        <w:t xml:space="preserve">The federal rule </w:t>
      </w:r>
      <w:r w:rsidR="00EE7D8A" w:rsidRPr="00E0108E">
        <w:rPr>
          <w:rFonts w:asciiTheme="minorHAnsi" w:hAnsiTheme="minorHAnsi" w:cstheme="minorHAnsi"/>
          <w:b w:val="0"/>
          <w:sz w:val="22"/>
          <w:szCs w:val="22"/>
        </w:rPr>
        <w:t>21 CFR 589.2000</w:t>
      </w:r>
      <w:r w:rsidRPr="00E0108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E7D8A" w:rsidRPr="00E0108E">
        <w:rPr>
          <w:rFonts w:asciiTheme="minorHAnsi" w:hAnsiTheme="minorHAnsi" w:cstheme="minorHAnsi"/>
          <w:b w:val="0"/>
          <w:sz w:val="22"/>
          <w:szCs w:val="22"/>
        </w:rPr>
        <w:t xml:space="preserve">‘Animal Proteins Prohibited In Ruminant Feed’ prohibits the use of certain mammalian proteins from ruminant rations </w:t>
      </w:r>
      <w:r w:rsidRPr="00E0108E">
        <w:rPr>
          <w:rFonts w:asciiTheme="minorHAnsi" w:hAnsiTheme="minorHAnsi" w:cstheme="minorHAnsi"/>
          <w:b w:val="0"/>
          <w:sz w:val="22"/>
          <w:szCs w:val="22"/>
        </w:rPr>
        <w:t>in order to prevent the occurrence of bovine spongiform encephalopathy (so-called “mad cow” disease or BSE) in U.S. cattle.</w:t>
      </w:r>
      <w:r w:rsidR="00EE7D8A" w:rsidRPr="00E0108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0108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0108E" w:rsidRPr="00E0108E">
        <w:rPr>
          <w:rFonts w:asciiTheme="minorHAnsi" w:hAnsiTheme="minorHAnsi" w:cstheme="minorHAnsi"/>
          <w:b w:val="0"/>
          <w:sz w:val="22"/>
          <w:szCs w:val="22"/>
        </w:rPr>
        <w:t>The federal rule 21 CFR 589.2001 ‘Cattle materials prohibited in animal food or feed to prevent the transmission of bovine spongiform encephalopathy</w:t>
      </w:r>
      <w:r w:rsidR="00E0108E">
        <w:rPr>
          <w:rFonts w:asciiTheme="minorHAnsi" w:hAnsiTheme="minorHAnsi" w:cstheme="minorHAnsi"/>
          <w:b w:val="0"/>
          <w:sz w:val="22"/>
          <w:szCs w:val="22"/>
        </w:rPr>
        <w:t>’</w:t>
      </w:r>
      <w:r w:rsidR="002C173C">
        <w:rPr>
          <w:rFonts w:asciiTheme="minorHAnsi" w:hAnsiTheme="minorHAnsi" w:cstheme="minorHAnsi"/>
          <w:b w:val="0"/>
          <w:sz w:val="22"/>
          <w:szCs w:val="22"/>
        </w:rPr>
        <w:t xml:space="preserve"> more fully describes those materials which are prohibited.  The full text of the two rules can be found in the Electronic Code of Federal Regulations (e-CFR):</w:t>
      </w:r>
    </w:p>
    <w:p w:rsidR="002C173C" w:rsidRDefault="002C173C" w:rsidP="002C173C">
      <w:pPr>
        <w:pStyle w:val="Heading2"/>
        <w:ind w:left="1440" w:hanging="144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589.2000: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hyperlink r:id="rId7" w:history="1">
        <w:r w:rsidRPr="00A15926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http://www.ecfr.gov/cgi-bin/text-idx?SID=2e74386daafefce9eda5ba6fc66d4d1d&amp;mc=true&amp;node=se21.6.589_12000&amp;rgn=div8</w:t>
        </w:r>
      </w:hyperlink>
    </w:p>
    <w:p w:rsidR="002C173C" w:rsidRDefault="002C173C" w:rsidP="002C173C">
      <w:pPr>
        <w:pStyle w:val="Heading2"/>
        <w:ind w:left="1440" w:hanging="144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589.2001: 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hyperlink r:id="rId8" w:history="1">
        <w:r w:rsidRPr="00A15926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http://www.ecfr.gov/cgi-bin/text-idx?SID=2e74386daafefce9eda5ba6fc66d4d1d&amp;mc=true&amp;node=se21.6.589_12001&amp;rgn=div8</w:t>
        </w:r>
      </w:hyperlink>
    </w:p>
    <w:p w:rsidR="00270E4E" w:rsidRDefault="00270E4E" w:rsidP="00E0108E">
      <w:pPr>
        <w:spacing w:after="0" w:line="240" w:lineRule="auto"/>
        <w:rPr>
          <w:rFonts w:cstheme="minorHAnsi"/>
        </w:rPr>
      </w:pPr>
      <w:r w:rsidRPr="00E0108E">
        <w:rPr>
          <w:rFonts w:cstheme="minorHAnsi"/>
        </w:rPr>
        <w:t>Rendered mammalian protein that contains only pure pork or horse tissues</w:t>
      </w:r>
      <w:r w:rsidRPr="00270E4E">
        <w:rPr>
          <w:rFonts w:cstheme="minorHAnsi"/>
        </w:rPr>
        <w:t xml:space="preserve"> is still allowed to be</w:t>
      </w:r>
      <w:r w:rsidR="00E0108E">
        <w:rPr>
          <w:rFonts w:cstheme="minorHAnsi"/>
        </w:rPr>
        <w:t xml:space="preserve"> </w:t>
      </w:r>
      <w:r w:rsidRPr="00270E4E">
        <w:rPr>
          <w:rFonts w:cstheme="minorHAnsi"/>
        </w:rPr>
        <w:t>used in feed intended for cattle and other ruminants. Blood and blood products, gelatin, milk</w:t>
      </w:r>
      <w:r w:rsidR="00E0108E">
        <w:rPr>
          <w:rFonts w:cstheme="minorHAnsi"/>
        </w:rPr>
        <w:t xml:space="preserve"> </w:t>
      </w:r>
      <w:r w:rsidRPr="00270E4E">
        <w:rPr>
          <w:rFonts w:cstheme="minorHAnsi"/>
        </w:rPr>
        <w:t>products and non-mammalian protein (such as poultry, feather meal, fish meal, soybean meal,</w:t>
      </w:r>
      <w:r w:rsidR="00E0108E">
        <w:rPr>
          <w:rFonts w:cstheme="minorHAnsi"/>
        </w:rPr>
        <w:t xml:space="preserve"> </w:t>
      </w:r>
      <w:r w:rsidRPr="00270E4E">
        <w:rPr>
          <w:rFonts w:cstheme="minorHAnsi"/>
        </w:rPr>
        <w:t xml:space="preserve">gluten, etc.) </w:t>
      </w:r>
      <w:r>
        <w:rPr>
          <w:rFonts w:cstheme="minorHAnsi"/>
        </w:rPr>
        <w:t>a</w:t>
      </w:r>
      <w:r w:rsidRPr="00270E4E">
        <w:rPr>
          <w:rFonts w:cstheme="minorHAnsi"/>
        </w:rPr>
        <w:t xml:space="preserve">re </w:t>
      </w:r>
      <w:r>
        <w:rPr>
          <w:rFonts w:cstheme="minorHAnsi"/>
        </w:rPr>
        <w:t xml:space="preserve">also </w:t>
      </w:r>
      <w:r w:rsidRPr="00270E4E">
        <w:rPr>
          <w:rFonts w:cstheme="minorHAnsi"/>
        </w:rPr>
        <w:t>permitted to be used in ruminant feed. Feed companies that use only non</w:t>
      </w:r>
      <w:r w:rsidR="00E0108E">
        <w:rPr>
          <w:rFonts w:cstheme="minorHAnsi"/>
        </w:rPr>
        <w:t>-</w:t>
      </w:r>
      <w:r w:rsidRPr="00270E4E">
        <w:rPr>
          <w:rFonts w:cstheme="minorHAnsi"/>
        </w:rPr>
        <w:t>mammalian</w:t>
      </w:r>
      <w:r>
        <w:rPr>
          <w:rFonts w:cstheme="minorHAnsi"/>
        </w:rPr>
        <w:t xml:space="preserve"> </w:t>
      </w:r>
      <w:r w:rsidRPr="00270E4E">
        <w:rPr>
          <w:rFonts w:cstheme="minorHAnsi"/>
        </w:rPr>
        <w:t xml:space="preserve">protein (e.g.; </w:t>
      </w:r>
      <w:r w:rsidR="00E0108E">
        <w:rPr>
          <w:rFonts w:cstheme="minorHAnsi"/>
        </w:rPr>
        <w:t>p</w:t>
      </w:r>
      <w:r w:rsidRPr="00270E4E">
        <w:rPr>
          <w:rFonts w:cstheme="minorHAnsi"/>
        </w:rPr>
        <w:t>oultry by-product meal) or non-prohibited mammalian protein (e.g.;</w:t>
      </w:r>
      <w:r w:rsidR="00E0108E">
        <w:rPr>
          <w:rFonts w:cstheme="minorHAnsi"/>
        </w:rPr>
        <w:t xml:space="preserve"> </w:t>
      </w:r>
      <w:r w:rsidRPr="00270E4E">
        <w:rPr>
          <w:rFonts w:cstheme="minorHAnsi"/>
        </w:rPr>
        <w:t>pork meal and bone meal) in their feed rations are exempt from the final rule.</w:t>
      </w:r>
    </w:p>
    <w:p w:rsidR="00270E4E" w:rsidRPr="00270E4E" w:rsidRDefault="00270E4E" w:rsidP="00270E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70E4E" w:rsidRPr="00270E4E" w:rsidRDefault="00270E4E" w:rsidP="00270E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0E4E">
        <w:rPr>
          <w:rFonts w:cstheme="minorHAnsi"/>
        </w:rPr>
        <w:t xml:space="preserve">Feed mills </w:t>
      </w:r>
      <w:r>
        <w:rPr>
          <w:rFonts w:cstheme="minorHAnsi"/>
        </w:rPr>
        <w:t>should</w:t>
      </w:r>
      <w:r w:rsidRPr="00270E4E">
        <w:rPr>
          <w:rFonts w:cstheme="minorHAnsi"/>
        </w:rPr>
        <w:t xml:space="preserve"> consider the following situations:</w:t>
      </w:r>
    </w:p>
    <w:p w:rsidR="00E0108E" w:rsidRDefault="00E0108E" w:rsidP="00270E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70E4E" w:rsidRPr="00270E4E" w:rsidRDefault="00270E4E" w:rsidP="00270E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0E4E">
        <w:rPr>
          <w:rFonts w:cstheme="minorHAnsi"/>
        </w:rPr>
        <w:t>Situation 1. The mill purchases a rendered product that contains or may contain a prohibited</w:t>
      </w:r>
      <w:r>
        <w:rPr>
          <w:rFonts w:cstheme="minorHAnsi"/>
        </w:rPr>
        <w:t xml:space="preserve"> </w:t>
      </w:r>
      <w:r w:rsidRPr="00270E4E">
        <w:rPr>
          <w:rFonts w:cstheme="minorHAnsi"/>
        </w:rPr>
        <w:t>mammalian protein. This rendered product is required to be</w:t>
      </w:r>
      <w:r>
        <w:rPr>
          <w:rFonts w:cstheme="minorHAnsi"/>
        </w:rPr>
        <w:t xml:space="preserve"> clearly</w:t>
      </w:r>
      <w:r w:rsidRPr="00270E4E">
        <w:rPr>
          <w:rFonts w:cstheme="minorHAnsi"/>
        </w:rPr>
        <w:t xml:space="preserve"> labeled “Do not feed to cattle or</w:t>
      </w:r>
      <w:r>
        <w:rPr>
          <w:rFonts w:cstheme="minorHAnsi"/>
        </w:rPr>
        <w:t xml:space="preserve"> </w:t>
      </w:r>
      <w:r w:rsidRPr="00270E4E">
        <w:rPr>
          <w:rFonts w:cstheme="minorHAnsi"/>
        </w:rPr>
        <w:t>other ruminants.”</w:t>
      </w:r>
    </w:p>
    <w:p w:rsidR="00270E4E" w:rsidRDefault="00270E4E" w:rsidP="00270E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:rsidR="00270E4E" w:rsidRPr="00270E4E" w:rsidRDefault="00270E4E" w:rsidP="00E0108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270E4E">
        <w:rPr>
          <w:rFonts w:cstheme="minorHAnsi"/>
        </w:rPr>
        <w:t>a. This ingredient cannot be used in feed for cattle or other ruminants.</w:t>
      </w:r>
    </w:p>
    <w:p w:rsidR="00270E4E" w:rsidRPr="00270E4E" w:rsidRDefault="00270E4E" w:rsidP="00E0108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270E4E">
        <w:rPr>
          <w:rFonts w:cstheme="minorHAnsi"/>
        </w:rPr>
        <w:t>b. A cleanout procedure, such as sequencing or flushing or other means to prevent</w:t>
      </w:r>
      <w:r>
        <w:rPr>
          <w:rFonts w:cstheme="minorHAnsi"/>
        </w:rPr>
        <w:t xml:space="preserve"> </w:t>
      </w:r>
      <w:r w:rsidRPr="00270E4E">
        <w:rPr>
          <w:rFonts w:cstheme="minorHAnsi"/>
        </w:rPr>
        <w:t>carryover into feed for cattle or other ruminants must be used. This also applies to</w:t>
      </w:r>
      <w:r>
        <w:rPr>
          <w:rFonts w:cstheme="minorHAnsi"/>
        </w:rPr>
        <w:t xml:space="preserve"> </w:t>
      </w:r>
      <w:r w:rsidRPr="00270E4E">
        <w:rPr>
          <w:rFonts w:cstheme="minorHAnsi"/>
        </w:rPr>
        <w:t>trucks and other transportation vehicles and conveying and mixing equipment.</w:t>
      </w:r>
    </w:p>
    <w:p w:rsidR="00270E4E" w:rsidRPr="00270E4E" w:rsidRDefault="00270E4E" w:rsidP="00E0108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270E4E">
        <w:rPr>
          <w:rFonts w:cstheme="minorHAnsi"/>
        </w:rPr>
        <w:t>c. The mill must have a written procedure describing the cleanout or controls used to</w:t>
      </w:r>
      <w:r>
        <w:rPr>
          <w:rFonts w:cstheme="minorHAnsi"/>
        </w:rPr>
        <w:t xml:space="preserve"> </w:t>
      </w:r>
      <w:r w:rsidRPr="00270E4E">
        <w:rPr>
          <w:rFonts w:cstheme="minorHAnsi"/>
        </w:rPr>
        <w:t>prevent carryover into ruminant feeds.</w:t>
      </w:r>
    </w:p>
    <w:p w:rsidR="00270E4E" w:rsidRPr="00270E4E" w:rsidRDefault="00270E4E" w:rsidP="00E0108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270E4E">
        <w:rPr>
          <w:rFonts w:cstheme="minorHAnsi"/>
        </w:rPr>
        <w:t>d. A record of sale invoices, purchase records and labels must be retained for one year</w:t>
      </w:r>
      <w:r>
        <w:rPr>
          <w:rFonts w:cstheme="minorHAnsi"/>
        </w:rPr>
        <w:t xml:space="preserve"> </w:t>
      </w:r>
      <w:r w:rsidRPr="00270E4E">
        <w:rPr>
          <w:rFonts w:cstheme="minorHAnsi"/>
        </w:rPr>
        <w:t>after purchase of the ingredient.</w:t>
      </w:r>
    </w:p>
    <w:p w:rsidR="00270E4E" w:rsidRPr="00270E4E" w:rsidRDefault="00270E4E" w:rsidP="00E0108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270E4E">
        <w:rPr>
          <w:rFonts w:cstheme="minorHAnsi"/>
        </w:rPr>
        <w:t>e. Finished feeds such as swine and poultry feeds, that may contain prohibited mammalian</w:t>
      </w:r>
      <w:r>
        <w:rPr>
          <w:rFonts w:cstheme="minorHAnsi"/>
        </w:rPr>
        <w:t xml:space="preserve"> </w:t>
      </w:r>
      <w:r w:rsidRPr="00270E4E">
        <w:rPr>
          <w:rFonts w:cstheme="minorHAnsi"/>
        </w:rPr>
        <w:t>protein, must be labeled with the statement, “Do not feed to cattle or other ruminants.”</w:t>
      </w:r>
      <w:r>
        <w:rPr>
          <w:rFonts w:cstheme="minorHAnsi"/>
        </w:rPr>
        <w:t xml:space="preserve"> </w:t>
      </w:r>
      <w:r w:rsidRPr="00270E4E">
        <w:rPr>
          <w:rFonts w:cstheme="minorHAnsi"/>
        </w:rPr>
        <w:t>This labeling is required of branded and custom mix feeds.</w:t>
      </w:r>
    </w:p>
    <w:p w:rsidR="00E0108E" w:rsidRDefault="00E0108E" w:rsidP="00270E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70E4E" w:rsidRPr="00270E4E" w:rsidRDefault="00270E4E" w:rsidP="00270E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0E4E">
        <w:rPr>
          <w:rFonts w:cstheme="minorHAnsi"/>
        </w:rPr>
        <w:t>Situation 2. The mill purchases a rendered protein that contains mammalian protein such as</w:t>
      </w:r>
      <w:r>
        <w:rPr>
          <w:rFonts w:cstheme="minorHAnsi"/>
        </w:rPr>
        <w:t xml:space="preserve"> </w:t>
      </w:r>
      <w:r w:rsidRPr="00270E4E">
        <w:rPr>
          <w:rFonts w:cstheme="minorHAnsi"/>
        </w:rPr>
        <w:t>pure pork meat and bone meal or non-mammalian rendered product from poultry or fish meal.</w:t>
      </w:r>
      <w:r>
        <w:rPr>
          <w:rFonts w:cstheme="minorHAnsi"/>
        </w:rPr>
        <w:t xml:space="preserve"> </w:t>
      </w:r>
      <w:r w:rsidRPr="00270E4E">
        <w:rPr>
          <w:rFonts w:cstheme="minorHAnsi"/>
        </w:rPr>
        <w:t>It has been suggested that feed manufacturers get a letter from their supplier confirming the non</w:t>
      </w:r>
      <w:r w:rsidR="00E0108E">
        <w:rPr>
          <w:rFonts w:cstheme="minorHAnsi"/>
        </w:rPr>
        <w:t>-</w:t>
      </w:r>
      <w:r w:rsidRPr="00270E4E">
        <w:rPr>
          <w:rFonts w:cstheme="minorHAnsi"/>
        </w:rPr>
        <w:t>prohibited</w:t>
      </w:r>
      <w:r>
        <w:rPr>
          <w:rFonts w:cstheme="minorHAnsi"/>
        </w:rPr>
        <w:t xml:space="preserve"> </w:t>
      </w:r>
      <w:r w:rsidRPr="00270E4E">
        <w:rPr>
          <w:rFonts w:cstheme="minorHAnsi"/>
        </w:rPr>
        <w:t>status of the rendered product.</w:t>
      </w:r>
    </w:p>
    <w:p w:rsidR="00E0108E" w:rsidRDefault="00E0108E" w:rsidP="00E0108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:rsidR="00270E4E" w:rsidRPr="00270E4E" w:rsidRDefault="00270E4E" w:rsidP="00E0108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270E4E">
        <w:rPr>
          <w:rFonts w:cstheme="minorHAnsi"/>
        </w:rPr>
        <w:t>1. These rendered products can be used in feed for all livestock including cattle.</w:t>
      </w:r>
    </w:p>
    <w:p w:rsidR="00270E4E" w:rsidRPr="00270E4E" w:rsidRDefault="00270E4E" w:rsidP="00E0108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270E4E">
        <w:rPr>
          <w:rFonts w:cstheme="minorHAnsi"/>
        </w:rPr>
        <w:lastRenderedPageBreak/>
        <w:t>2. No special cleanout procedures are required beyond those normally employed.</w:t>
      </w:r>
    </w:p>
    <w:p w:rsidR="00270E4E" w:rsidRPr="00270E4E" w:rsidRDefault="00270E4E" w:rsidP="00E0108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270E4E">
        <w:rPr>
          <w:rFonts w:cstheme="minorHAnsi"/>
        </w:rPr>
        <w:t>3. The cautionary statement is not required on labels of finished feeds or custom mixes.</w:t>
      </w:r>
    </w:p>
    <w:p w:rsidR="00270E4E" w:rsidRDefault="00270E4E" w:rsidP="00E0108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270E4E">
        <w:rPr>
          <w:rFonts w:cstheme="minorHAnsi"/>
        </w:rPr>
        <w:t>4. Copy of sales invoices and purchase records shall be retained for one year.</w:t>
      </w:r>
      <w:r>
        <w:rPr>
          <w:rFonts w:cstheme="minorHAnsi"/>
        </w:rPr>
        <w:t xml:space="preserve"> </w:t>
      </w:r>
    </w:p>
    <w:p w:rsidR="00E0108E" w:rsidRDefault="00E0108E" w:rsidP="00270E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70E4E" w:rsidRPr="00270E4E" w:rsidRDefault="00270E4E" w:rsidP="00270E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0E4E">
        <w:rPr>
          <w:rFonts w:cstheme="minorHAnsi"/>
        </w:rPr>
        <w:t>Situation 3. Provided, the feed mill purchases both prohibited and non-prohibited mammalian</w:t>
      </w:r>
      <w:r w:rsidR="00E0108E">
        <w:rPr>
          <w:rFonts w:cstheme="minorHAnsi"/>
        </w:rPr>
        <w:t xml:space="preserve"> </w:t>
      </w:r>
      <w:r w:rsidRPr="00270E4E">
        <w:rPr>
          <w:rFonts w:cstheme="minorHAnsi"/>
        </w:rPr>
        <w:t>rendered product and the rendered products are commingled, then they must be handled as</w:t>
      </w:r>
      <w:r w:rsidR="00E0108E">
        <w:rPr>
          <w:rFonts w:cstheme="minorHAnsi"/>
        </w:rPr>
        <w:t xml:space="preserve"> </w:t>
      </w:r>
      <w:r w:rsidRPr="00270E4E">
        <w:rPr>
          <w:rFonts w:cstheme="minorHAnsi"/>
        </w:rPr>
        <w:t>prohibited product with procedures outlined in Situation 1. If the prohibited and non-prohibited</w:t>
      </w:r>
      <w:r w:rsidR="00E0108E">
        <w:rPr>
          <w:rFonts w:cstheme="minorHAnsi"/>
        </w:rPr>
        <w:t xml:space="preserve"> </w:t>
      </w:r>
      <w:r w:rsidRPr="00270E4E">
        <w:rPr>
          <w:rFonts w:cstheme="minorHAnsi"/>
        </w:rPr>
        <w:t>products are maintained separately in the mill, then the procedures outlined in Situation 1 and 2</w:t>
      </w:r>
      <w:r w:rsidR="00E0108E">
        <w:rPr>
          <w:rFonts w:cstheme="minorHAnsi"/>
        </w:rPr>
        <w:t xml:space="preserve"> </w:t>
      </w:r>
      <w:r w:rsidRPr="00270E4E">
        <w:rPr>
          <w:rFonts w:cstheme="minorHAnsi"/>
        </w:rPr>
        <w:t>apply, respectively.</w:t>
      </w:r>
    </w:p>
    <w:p w:rsidR="00E0108E" w:rsidRDefault="00E0108E" w:rsidP="00270E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70E4E" w:rsidRPr="00270E4E" w:rsidRDefault="00270E4E" w:rsidP="00270E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0E4E">
        <w:rPr>
          <w:rFonts w:cstheme="minorHAnsi"/>
        </w:rPr>
        <w:t>Feed mills also need to review any premixes or supplements mixed to ensure that if they contain</w:t>
      </w:r>
      <w:r w:rsidR="00E0108E">
        <w:rPr>
          <w:rFonts w:cstheme="minorHAnsi"/>
        </w:rPr>
        <w:t xml:space="preserve"> </w:t>
      </w:r>
      <w:r w:rsidRPr="00270E4E">
        <w:rPr>
          <w:rFonts w:cstheme="minorHAnsi"/>
        </w:rPr>
        <w:t>prohibited mammalian rendered product, then appropriate procedures are followed to prevent</w:t>
      </w:r>
      <w:r w:rsidR="00E0108E">
        <w:rPr>
          <w:rFonts w:cstheme="minorHAnsi"/>
        </w:rPr>
        <w:t xml:space="preserve"> </w:t>
      </w:r>
      <w:r w:rsidRPr="00270E4E">
        <w:rPr>
          <w:rFonts w:cstheme="minorHAnsi"/>
        </w:rPr>
        <w:t>carryover into feed for cattle or other ruminants.</w:t>
      </w:r>
    </w:p>
    <w:p w:rsidR="00E0108E" w:rsidRDefault="00E0108E" w:rsidP="00270E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70E4E" w:rsidRPr="00270E4E" w:rsidRDefault="00270E4E" w:rsidP="00270E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0E4E">
        <w:rPr>
          <w:rFonts w:cstheme="minorHAnsi"/>
        </w:rPr>
        <w:t xml:space="preserve">The label or invoice for all mixed feeds that contain prohibited mammalian protein must </w:t>
      </w:r>
      <w:r w:rsidR="00E0108E">
        <w:rPr>
          <w:rFonts w:cstheme="minorHAnsi"/>
        </w:rPr>
        <w:t xml:space="preserve">clearly </w:t>
      </w:r>
      <w:r w:rsidRPr="00270E4E">
        <w:rPr>
          <w:rFonts w:cstheme="minorHAnsi"/>
        </w:rPr>
        <w:t>state,</w:t>
      </w:r>
      <w:r w:rsidR="00E0108E">
        <w:rPr>
          <w:rFonts w:cstheme="minorHAnsi"/>
        </w:rPr>
        <w:t xml:space="preserve"> </w:t>
      </w:r>
      <w:r w:rsidRPr="00270E4E">
        <w:rPr>
          <w:rFonts w:cstheme="minorHAnsi"/>
        </w:rPr>
        <w:t>“Do not feed to cattle or other ruminants.”</w:t>
      </w:r>
    </w:p>
    <w:p w:rsidR="00E0108E" w:rsidRDefault="00E0108E" w:rsidP="00270E4E">
      <w:pPr>
        <w:spacing w:after="0" w:line="240" w:lineRule="auto"/>
        <w:rPr>
          <w:rFonts w:cstheme="minorHAnsi"/>
        </w:rPr>
      </w:pPr>
    </w:p>
    <w:p w:rsidR="00B37DAD" w:rsidRDefault="00B37DAD" w:rsidP="00B37DAD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This document has been adapted from the original authored by Eli Miller in 1997. </w:t>
      </w:r>
    </w:p>
    <w:p w:rsidR="00E0108E" w:rsidRDefault="00E0108E" w:rsidP="00B37DAD">
      <w:pPr>
        <w:spacing w:after="0" w:line="240" w:lineRule="auto"/>
        <w:rPr>
          <w:rFonts w:cstheme="minorHAnsi"/>
        </w:rPr>
      </w:pPr>
    </w:p>
    <w:sectPr w:rsidR="00E010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7E" w:rsidRDefault="00E3627E" w:rsidP="00270E4E">
      <w:pPr>
        <w:spacing w:after="0" w:line="240" w:lineRule="auto"/>
      </w:pPr>
      <w:r>
        <w:separator/>
      </w:r>
    </w:p>
  </w:endnote>
  <w:endnote w:type="continuationSeparator" w:id="0">
    <w:p w:rsidR="00E3627E" w:rsidRDefault="00E3627E" w:rsidP="0027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3C" w:rsidRPr="002C173C" w:rsidRDefault="00C3659D">
    <w:pPr>
      <w:pStyle w:val="Footer"/>
      <w:rPr>
        <w:color w:val="808080" w:themeColor="background1" w:themeShade="80"/>
      </w:rPr>
    </w:pPr>
    <w:r>
      <w:rPr>
        <w:color w:val="808080" w:themeColor="background1" w:themeShade="80"/>
      </w:rPr>
      <w:t>REV</w:t>
    </w:r>
    <w:r w:rsidR="002C173C" w:rsidRPr="002C173C">
      <w:rPr>
        <w:color w:val="808080" w:themeColor="background1" w:themeShade="80"/>
      </w:rPr>
      <w:t>12.2015.KG</w:t>
    </w:r>
  </w:p>
  <w:p w:rsidR="002C173C" w:rsidRDefault="002C1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7E" w:rsidRDefault="00E3627E" w:rsidP="00270E4E">
      <w:pPr>
        <w:spacing w:after="0" w:line="240" w:lineRule="auto"/>
      </w:pPr>
      <w:r>
        <w:separator/>
      </w:r>
    </w:p>
  </w:footnote>
  <w:footnote w:type="continuationSeparator" w:id="0">
    <w:p w:rsidR="00E3627E" w:rsidRDefault="00E3627E" w:rsidP="00270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3D"/>
    <w:rsid w:val="0015153C"/>
    <w:rsid w:val="00270E4E"/>
    <w:rsid w:val="00271F34"/>
    <w:rsid w:val="00283E7A"/>
    <w:rsid w:val="002C173C"/>
    <w:rsid w:val="002C343D"/>
    <w:rsid w:val="004362E9"/>
    <w:rsid w:val="009A4E97"/>
    <w:rsid w:val="00B37DAD"/>
    <w:rsid w:val="00C3659D"/>
    <w:rsid w:val="00C37DFA"/>
    <w:rsid w:val="00CD481F"/>
    <w:rsid w:val="00E0108E"/>
    <w:rsid w:val="00E3627E"/>
    <w:rsid w:val="00E873B0"/>
    <w:rsid w:val="00E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1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4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E4E"/>
  </w:style>
  <w:style w:type="paragraph" w:styleId="Footer">
    <w:name w:val="footer"/>
    <w:basedOn w:val="Normal"/>
    <w:link w:val="FooterChar"/>
    <w:uiPriority w:val="99"/>
    <w:unhideWhenUsed/>
    <w:rsid w:val="0027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E4E"/>
  </w:style>
  <w:style w:type="character" w:customStyle="1" w:styleId="Heading2Char">
    <w:name w:val="Heading 2 Char"/>
    <w:basedOn w:val="DefaultParagraphFont"/>
    <w:link w:val="Heading2"/>
    <w:uiPriority w:val="9"/>
    <w:rsid w:val="00E010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7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7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1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4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E4E"/>
  </w:style>
  <w:style w:type="paragraph" w:styleId="Footer">
    <w:name w:val="footer"/>
    <w:basedOn w:val="Normal"/>
    <w:link w:val="FooterChar"/>
    <w:uiPriority w:val="99"/>
    <w:unhideWhenUsed/>
    <w:rsid w:val="0027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E4E"/>
  </w:style>
  <w:style w:type="character" w:customStyle="1" w:styleId="Heading2Char">
    <w:name w:val="Heading 2 Char"/>
    <w:basedOn w:val="DefaultParagraphFont"/>
    <w:link w:val="Heading2"/>
    <w:uiPriority w:val="9"/>
    <w:rsid w:val="00E010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7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7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text-idx?SID=2e74386daafefce9eda5ba6fc66d4d1d&amp;mc=true&amp;node=se21.6.589_12001&amp;rgn=div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fr.gov/cgi-bin/text-idx?SID=2e74386daafefce9eda5ba6fc66d4d1d&amp;mc=true&amp;node=se21.6.589_12000&amp;rgn=div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Harrison</dc:creator>
  <cp:lastModifiedBy>Kristen Green</cp:lastModifiedBy>
  <cp:revision>8</cp:revision>
  <dcterms:created xsi:type="dcterms:W3CDTF">2015-12-21T20:30:00Z</dcterms:created>
  <dcterms:modified xsi:type="dcterms:W3CDTF">2016-02-11T14:47:00Z</dcterms:modified>
</cp:coreProperties>
</file>